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12" w:rsidRDefault="0020152F">
      <w:pPr>
        <w:pStyle w:val="af7"/>
        <w:contextualSpacing/>
        <w:jc w:val="center"/>
        <w:rPr>
          <w:sz w:val="24"/>
        </w:rPr>
      </w:pPr>
      <w:r>
        <w:rPr>
          <w:sz w:val="24"/>
        </w:rPr>
        <w:t>РОССТАТ</w:t>
      </w:r>
    </w:p>
    <w:p w:rsidR="00522A12" w:rsidRDefault="0020152F">
      <w:pPr>
        <w:pStyle w:val="af7"/>
        <w:contextualSpacing/>
        <w:jc w:val="center"/>
        <w:rPr>
          <w:b w:val="0"/>
          <w:sz w:val="24"/>
        </w:rPr>
      </w:pPr>
      <w:r>
        <w:rPr>
          <w:sz w:val="24"/>
        </w:rPr>
        <w:t xml:space="preserve">УПРАВЛЕНИЕ ФЕДЕРАЛЬНОЙ СЛУЖБЫ ГОСУДАРСТВЕННОЙ СТАТИСТИКИ </w:t>
      </w:r>
      <w:r>
        <w:rPr>
          <w:sz w:val="24"/>
        </w:rPr>
        <w:br/>
        <w:t>ПО КРАСНОЯРСКОМУ КРАЮ, РЕСПУБЛИКЕ ХАКАСИЯ И РЕСПУБЛИКЕ ТЫВА</w:t>
      </w:r>
    </w:p>
    <w:p w:rsidR="00522A12" w:rsidRDefault="0020152F">
      <w:pPr>
        <w:pStyle w:val="30"/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(КРАСНОЯРСКСТАТ)</w:t>
      </w:r>
    </w:p>
    <w:p w:rsidR="00522A12" w:rsidRDefault="00522A12">
      <w:pPr>
        <w:contextualSpacing/>
        <w:jc w:val="both"/>
        <w:rPr>
          <w:sz w:val="12"/>
          <w:szCs w:val="12"/>
        </w:rPr>
      </w:pPr>
    </w:p>
    <w:p w:rsidR="00522A12" w:rsidRDefault="0020152F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ИНФОРМАЦИОННОЕ ПИСЬМО</w:t>
      </w:r>
    </w:p>
    <w:p w:rsidR="00522A12" w:rsidRDefault="00522A12">
      <w:pPr>
        <w:contextualSpacing/>
        <w:jc w:val="center"/>
        <w:rPr>
          <w:b/>
          <w:color w:val="000000"/>
          <w:sz w:val="12"/>
          <w:szCs w:val="12"/>
        </w:rPr>
      </w:pPr>
    </w:p>
    <w:p w:rsidR="00522A12" w:rsidRDefault="00522A12">
      <w:pPr>
        <w:contextualSpacing/>
        <w:jc w:val="both"/>
        <w:rPr>
          <w:sz w:val="12"/>
          <w:szCs w:val="12"/>
        </w:rPr>
      </w:pPr>
    </w:p>
    <w:p w:rsidR="00522A12" w:rsidRDefault="0020152F">
      <w:pPr>
        <w:pStyle w:val="af7"/>
        <w:tabs>
          <w:tab w:val="left" w:pos="993"/>
        </w:tabs>
        <w:rPr>
          <w:b w:val="0"/>
          <w:sz w:val="12"/>
          <w:szCs w:val="12"/>
        </w:rPr>
      </w:pPr>
      <w:r>
        <w:rPr>
          <w:sz w:val="24"/>
        </w:rPr>
        <w:t xml:space="preserve">03.02.2023                                                                 </w:t>
      </w:r>
      <w:r>
        <w:rPr>
          <w:sz w:val="24"/>
        </w:rPr>
        <w:t xml:space="preserve">                                        № АР-Т26-10/751-ДР</w:t>
      </w:r>
    </w:p>
    <w:p w:rsidR="00522A12" w:rsidRDefault="0020152F">
      <w:pPr>
        <w:pStyle w:val="Heading1"/>
        <w:spacing w:before="0" w:beforeAutospacing="0" w:after="0" w:afterAutospacing="0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 </w:t>
      </w:r>
      <w:r>
        <w:rPr>
          <w:sz w:val="24"/>
          <w:szCs w:val="24"/>
        </w:rPr>
        <w:t xml:space="preserve">предоставлении сведений по форме № 7-травматизм </w:t>
      </w:r>
      <w:r>
        <w:rPr>
          <w:sz w:val="24"/>
          <w:szCs w:val="24"/>
        </w:rPr>
        <w:br/>
        <w:t xml:space="preserve">и Приложения к форме № 7-травматизм </w:t>
      </w:r>
    </w:p>
    <w:p w:rsidR="00522A12" w:rsidRDefault="00522A12">
      <w:pPr>
        <w:pStyle w:val="Heading1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522A12" w:rsidRDefault="0020152F">
      <w:pPr>
        <w:ind w:left="-426" w:firstLine="426"/>
        <w:jc w:val="both"/>
      </w:pPr>
      <w:r>
        <w:t>Управление Федеральной службы государственной статистики по Красноярскому краю, Республике Хакасия и Республ</w:t>
      </w:r>
      <w:r>
        <w:t xml:space="preserve">ике Тыва сообщает, что за 2022 год при заполнении форм </w:t>
      </w:r>
      <w:r>
        <w:br/>
      </w:r>
      <w:r>
        <w:rPr>
          <w:b/>
          <w:bCs/>
          <w:i/>
          <w:iCs/>
          <w:color w:val="262626" w:themeColor="text1" w:themeTint="D9"/>
        </w:rPr>
        <w:t>№ 7-</w:t>
      </w:r>
      <w:r>
        <w:rPr>
          <w:b/>
          <w:bCs/>
          <w:i/>
          <w:iCs/>
        </w:rPr>
        <w:t xml:space="preserve">травматизм </w:t>
      </w:r>
      <w:r>
        <w:t xml:space="preserve">«Сведения о травматизме на производстве и профессиональных заболеваниях» </w:t>
      </w:r>
      <w:r>
        <w:br/>
        <w:t xml:space="preserve">и </w:t>
      </w:r>
      <w:r>
        <w:rPr>
          <w:b/>
          <w:bCs/>
          <w:i/>
          <w:iCs/>
        </w:rPr>
        <w:t>Приложения к форме № 7-травматизм</w:t>
      </w:r>
      <w:r>
        <w:t xml:space="preserve"> «Сведения о распределении числа пострадавших </w:t>
      </w:r>
      <w:r>
        <w:br/>
        <w:t>при несчастных случаях на про</w:t>
      </w:r>
      <w:r>
        <w:t xml:space="preserve">изводстве по основным видам происшествий и причинам несчастных случаев </w:t>
      </w:r>
      <w:r>
        <w:rPr>
          <w:bCs/>
          <w:i/>
        </w:rPr>
        <w:t xml:space="preserve">(приложение заполняется только при наличии наблюдаемого события), </w:t>
      </w:r>
      <w:r>
        <w:rPr>
          <w:b/>
        </w:rPr>
        <w:t xml:space="preserve">утвержденными приказом Росстата от 01.07.2022 № 485, </w:t>
      </w:r>
      <w:r>
        <w:t xml:space="preserve">следует руководствоваться указаниями, размещенными </w:t>
      </w:r>
      <w:r>
        <w:br/>
        <w:t>на бланке форм</w:t>
      </w:r>
      <w:r>
        <w:t xml:space="preserve">ы. </w:t>
      </w:r>
    </w:p>
    <w:p w:rsidR="00522A12" w:rsidRDefault="0020152F">
      <w:pPr>
        <w:ind w:left="-426" w:firstLine="426"/>
        <w:jc w:val="both"/>
        <w:rPr>
          <w:b/>
        </w:rPr>
      </w:pPr>
      <w:r>
        <w:t xml:space="preserve">Срок предоставления сведений по формам перенесен с </w:t>
      </w:r>
      <w:r>
        <w:rPr>
          <w:b/>
        </w:rPr>
        <w:t>25 января</w:t>
      </w:r>
      <w:r>
        <w:t xml:space="preserve"> на</w:t>
      </w:r>
      <w:r>
        <w:rPr>
          <w:b/>
        </w:rPr>
        <w:t xml:space="preserve"> период </w:t>
      </w:r>
      <w:r>
        <w:rPr>
          <w:b/>
        </w:rPr>
        <w:br/>
        <w:t>с 20 февраля по 1 марта.</w:t>
      </w:r>
    </w:p>
    <w:p w:rsidR="00522A12" w:rsidRDefault="0020152F">
      <w:pPr>
        <w:ind w:left="-426" w:firstLine="426"/>
        <w:jc w:val="both"/>
      </w:pPr>
      <w:r>
        <w:t xml:space="preserve">При заполнении </w:t>
      </w:r>
      <w:r>
        <w:rPr>
          <w:b/>
          <w:bCs/>
        </w:rPr>
        <w:t>формы № 7-травматизм обращаем</w:t>
      </w:r>
      <w:r>
        <w:t xml:space="preserve"> внимание на заполнение следующих строк: </w:t>
      </w:r>
    </w:p>
    <w:p w:rsidR="00522A12" w:rsidRDefault="0020152F">
      <w:pPr>
        <w:ind w:left="-426" w:firstLine="426"/>
        <w:jc w:val="both"/>
      </w:pPr>
      <w:r>
        <w:rPr>
          <w:b/>
          <w:bCs/>
          <w:i/>
          <w:iCs/>
        </w:rPr>
        <w:t>Строка 01.</w:t>
      </w:r>
      <w:r>
        <w:t xml:space="preserve"> Если в </w:t>
      </w:r>
      <w:r>
        <w:rPr>
          <w:b/>
        </w:rPr>
        <w:t xml:space="preserve">строке 01 </w:t>
      </w:r>
      <w:r>
        <w:t>показана численность пострадавших с утрат</w:t>
      </w:r>
      <w:r>
        <w:t xml:space="preserve">ой трудоспособности на 1 рабочий день и более, включая пострадавших со смертельным исходом, то </w:t>
      </w:r>
      <w:r>
        <w:rPr>
          <w:b/>
          <w:bCs/>
          <w:i/>
          <w:iCs/>
        </w:rPr>
        <w:t>обязательно заполняется Приложение к форме</w:t>
      </w:r>
      <w:r>
        <w:t xml:space="preserve"> № 7-травматизм. </w:t>
      </w:r>
    </w:p>
    <w:p w:rsidR="00522A12" w:rsidRDefault="0020152F">
      <w:pPr>
        <w:ind w:left="-426" w:firstLine="426"/>
        <w:jc w:val="both"/>
      </w:pPr>
      <w:r>
        <w:rPr>
          <w:b/>
          <w:bCs/>
          <w:i/>
          <w:iCs/>
        </w:rPr>
        <w:t xml:space="preserve">Строка 13. </w:t>
      </w:r>
      <w:r>
        <w:rPr>
          <w:bCs/>
          <w:iCs/>
        </w:rPr>
        <w:t>О</w:t>
      </w:r>
      <w:r>
        <w:t xml:space="preserve">тражаются числа </w:t>
      </w:r>
      <w:r>
        <w:rPr>
          <w:b/>
          <w:bCs/>
          <w:i/>
          <w:iCs/>
        </w:rPr>
        <w:t xml:space="preserve">рабочих </w:t>
      </w:r>
      <w:r>
        <w:t>человеко-дней нетрудоспособности, а не календарных. Рабочие дни о</w:t>
      </w:r>
      <w:r>
        <w:t xml:space="preserve">тражаются суммарно по всем закрытым больничным листкам, для этого необходимо вычесть из дней больничного листа выходные дни пострадавшего по его графику.  По стр. 13 заложен логический контроль: если на 1 пострадавшего приходится </w:t>
      </w:r>
      <w:r>
        <w:rPr>
          <w:b/>
        </w:rPr>
        <w:t>более 80 рабочих человеко-</w:t>
      </w:r>
      <w:r>
        <w:rPr>
          <w:b/>
        </w:rPr>
        <w:t>дней</w:t>
      </w:r>
      <w:r>
        <w:t xml:space="preserve"> нетрудоспособности, необходимо сделать пояснения или подтвердить данные. Имеют место быть «переходящие» больничные листы. Например, несчастные случаи произошли в году </w:t>
      </w:r>
      <w:r>
        <w:rPr>
          <w:b/>
          <w:bCs/>
          <w:i/>
          <w:iCs/>
        </w:rPr>
        <w:t xml:space="preserve">предшествующему отчетному (в 2021 г), </w:t>
      </w:r>
      <w:r>
        <w:rPr>
          <w:bCs/>
          <w:i/>
          <w:iCs/>
        </w:rPr>
        <w:t>а</w:t>
      </w:r>
      <w:r>
        <w:t xml:space="preserve"> временная нетрудоспособность пострадавших </w:t>
      </w:r>
      <w:r>
        <w:rPr>
          <w:b/>
          <w:bCs/>
          <w:i/>
          <w:iCs/>
        </w:rPr>
        <w:t xml:space="preserve">закончилась в отчетном 2022 г., </w:t>
      </w:r>
      <w:r>
        <w:rPr>
          <w:bCs/>
          <w:i/>
          <w:iCs/>
        </w:rPr>
        <w:t>общее коли</w:t>
      </w:r>
      <w:r>
        <w:rPr>
          <w:i/>
          <w:iCs/>
        </w:rPr>
        <w:t xml:space="preserve">чество больничных дней у пострадавшего составило </w:t>
      </w:r>
      <w:r>
        <w:rPr>
          <w:i/>
          <w:iCs/>
        </w:rPr>
        <w:br/>
      </w:r>
      <w:r>
        <w:rPr>
          <w:b/>
          <w:i/>
          <w:iCs/>
        </w:rPr>
        <w:t>84 дня</w:t>
      </w:r>
      <w:r>
        <w:rPr>
          <w:i/>
          <w:iCs/>
        </w:rPr>
        <w:t xml:space="preserve">, из них </w:t>
      </w:r>
      <w:r>
        <w:rPr>
          <w:b/>
          <w:i/>
          <w:iCs/>
        </w:rPr>
        <w:t>72 дня</w:t>
      </w:r>
      <w:r>
        <w:rPr>
          <w:i/>
          <w:iCs/>
        </w:rPr>
        <w:t xml:space="preserve"> были закрыты в 2021 г., а </w:t>
      </w:r>
      <w:r>
        <w:rPr>
          <w:b/>
          <w:i/>
          <w:iCs/>
        </w:rPr>
        <w:t>12 дней</w:t>
      </w:r>
      <w:r>
        <w:rPr>
          <w:i/>
          <w:iCs/>
        </w:rPr>
        <w:t xml:space="preserve"> больничного листа были переходящими </w:t>
      </w:r>
      <w:r>
        <w:rPr>
          <w:i/>
          <w:iCs/>
        </w:rPr>
        <w:br/>
        <w:t xml:space="preserve">на 2022 г.. </w:t>
      </w:r>
      <w:r>
        <w:t xml:space="preserve">Поэтому по </w:t>
      </w:r>
      <w:r>
        <w:rPr>
          <w:b/>
          <w:bCs/>
        </w:rPr>
        <w:t>строке 01</w:t>
      </w:r>
      <w:r>
        <w:t xml:space="preserve"> этот случай не отражается, поскольку о</w:t>
      </w:r>
      <w:r>
        <w:t xml:space="preserve">н был уже учтен в отчете </w:t>
      </w:r>
      <w:r>
        <w:br/>
      </w:r>
      <w:r>
        <w:rPr>
          <w:b/>
          <w:bCs/>
        </w:rPr>
        <w:t>за 2021 г., а</w:t>
      </w:r>
      <w:r>
        <w:t xml:space="preserve"> по </w:t>
      </w:r>
      <w:r>
        <w:rPr>
          <w:b/>
          <w:bCs/>
        </w:rPr>
        <w:t xml:space="preserve">строке 13 </w:t>
      </w:r>
      <w:r>
        <w:t xml:space="preserve">показываются дни нетрудоспособности, которые были закрыты </w:t>
      </w:r>
      <w:r>
        <w:rPr>
          <w:b/>
          <w:bCs/>
        </w:rPr>
        <w:t>в 2022 г.</w:t>
      </w:r>
      <w:r>
        <w:t>, т.е. 12 дней.</w:t>
      </w:r>
    </w:p>
    <w:p w:rsidR="00522A12" w:rsidRDefault="0020152F">
      <w:pPr>
        <w:ind w:left="-426" w:firstLine="426"/>
        <w:jc w:val="both"/>
        <w:rPr>
          <w:b/>
          <w:i/>
        </w:rPr>
      </w:pPr>
      <w:r>
        <w:rPr>
          <w:b/>
          <w:bCs/>
          <w:i/>
          <w:iCs/>
        </w:rPr>
        <w:t>Строка 16.</w:t>
      </w:r>
      <w:r>
        <w:t xml:space="preserve"> Показывают численность лиц с впервые установленным профессиональным заболеванием, по которым составлены акты </w:t>
      </w:r>
      <w:r>
        <w:t xml:space="preserve">о случае профессионального заболевания в соответствии с постановлением Правительства РФ от 15.12.2000 № 967 «Об утверждении положения </w:t>
      </w:r>
      <w:r>
        <w:br/>
        <w:t>о расследовании и учете профессиональных заболеваний». Информацию о лицах с впервые установленными профессиональными забо</w:t>
      </w:r>
      <w:r>
        <w:t xml:space="preserve">леваниями </w:t>
      </w:r>
      <w:r>
        <w:rPr>
          <w:b/>
          <w:i/>
        </w:rPr>
        <w:t>просим</w:t>
      </w:r>
      <w:r>
        <w:t xml:space="preserve"> </w:t>
      </w:r>
      <w:r>
        <w:rPr>
          <w:b/>
          <w:i/>
        </w:rPr>
        <w:t xml:space="preserve">сверить с данными Росздравнадзора. </w:t>
      </w:r>
    </w:p>
    <w:p w:rsidR="00522A12" w:rsidRDefault="0020152F">
      <w:pPr>
        <w:ind w:left="-426" w:firstLine="426"/>
        <w:jc w:val="both"/>
      </w:pPr>
      <w:r>
        <w:rPr>
          <w:b/>
          <w:bCs/>
          <w:i/>
          <w:iCs/>
        </w:rPr>
        <w:t>Строка 17.</w:t>
      </w:r>
      <w:r>
        <w:t xml:space="preserve"> Отражаются затраты на мероприятия по охране труда на основании Примерного перечня ежегодно реализуемых работодателем мероприятий по улучшению условий и охраны труда. Единица измерения – </w:t>
      </w:r>
      <w:r>
        <w:rPr>
          <w:b/>
        </w:rPr>
        <w:t xml:space="preserve">ТЫСЯЧ </w:t>
      </w:r>
      <w:r>
        <w:rPr>
          <w:b/>
        </w:rPr>
        <w:t xml:space="preserve">РУБЛЕЙ. </w:t>
      </w:r>
      <w:r>
        <w:t xml:space="preserve">Показываются фактические суммы расходов организаций </w:t>
      </w:r>
      <w:r>
        <w:rPr>
          <w:b/>
        </w:rPr>
        <w:t>БЕЗ НДС.</w:t>
      </w:r>
      <w:r>
        <w:t xml:space="preserve"> </w:t>
      </w:r>
    </w:p>
    <w:p w:rsidR="00522A12" w:rsidRDefault="0020152F">
      <w:pPr>
        <w:ind w:left="-426" w:firstLine="426"/>
        <w:jc w:val="both"/>
        <w:rPr>
          <w:b/>
          <w:i/>
        </w:rPr>
      </w:pPr>
      <w:r>
        <w:rPr>
          <w:b/>
          <w:bCs/>
          <w:i/>
          <w:iCs/>
        </w:rPr>
        <w:t xml:space="preserve">Строка 23. </w:t>
      </w:r>
      <w:r>
        <w:t xml:space="preserve">Проставляется средняя численность работников, состоящая </w:t>
      </w:r>
      <w:r>
        <w:rPr>
          <w:bCs/>
        </w:rPr>
        <w:t>из р</w:t>
      </w:r>
      <w:r>
        <w:t xml:space="preserve">аботников списочного состава и внешних совместителей, на основании отчетности по труду. </w:t>
      </w:r>
      <w:r>
        <w:rPr>
          <w:b/>
          <w:i/>
        </w:rPr>
        <w:t>Значение строки 23 просим с</w:t>
      </w:r>
      <w:r>
        <w:rPr>
          <w:b/>
          <w:i/>
        </w:rPr>
        <w:t xml:space="preserve">верить с данными по отчету формы № П-4. </w:t>
      </w:r>
    </w:p>
    <w:p w:rsidR="00522A12" w:rsidRDefault="0020152F">
      <w:pPr>
        <w:ind w:firstLine="708"/>
        <w:jc w:val="both"/>
      </w:pPr>
      <w:r>
        <w:rPr>
          <w:b/>
          <w:bCs/>
          <w:i/>
          <w:iCs/>
        </w:rPr>
        <w:t>Строка 25</w:t>
      </w:r>
      <w:r>
        <w:rPr>
          <w:b/>
          <w:bCs/>
        </w:rPr>
        <w:t xml:space="preserve"> </w:t>
      </w:r>
      <w:r>
        <w:rPr>
          <w:bCs/>
        </w:rPr>
        <w:t>Наличие на предприятие здравпункта</w:t>
      </w:r>
      <w:r>
        <w:t xml:space="preserve"> заполняют учреждения, организации </w:t>
      </w:r>
      <w:r>
        <w:br/>
        <w:t xml:space="preserve">(в том числе лечебно-профилактические организации), </w:t>
      </w:r>
      <w:r>
        <w:rPr>
          <w:b/>
        </w:rPr>
        <w:t>имеющие</w:t>
      </w:r>
      <w:r>
        <w:t xml:space="preserve"> </w:t>
      </w:r>
      <w:r>
        <w:rPr>
          <w:b/>
        </w:rPr>
        <w:t>в</w:t>
      </w:r>
      <w:r>
        <w:t xml:space="preserve"> </w:t>
      </w:r>
      <w:r>
        <w:rPr>
          <w:b/>
        </w:rPr>
        <w:t>штатном расписании</w:t>
      </w:r>
      <w:r>
        <w:t xml:space="preserve"> </w:t>
      </w:r>
      <w:r>
        <w:rPr>
          <w:b/>
          <w:i/>
        </w:rPr>
        <w:t>врачей, фельдшеров, медицинских сестер</w:t>
      </w:r>
      <w:r>
        <w:t xml:space="preserve">, которые могут </w:t>
      </w:r>
      <w:r>
        <w:t xml:space="preserve">оказать первичную неотложную помощь, </w:t>
      </w:r>
      <w:r>
        <w:rPr>
          <w:b/>
        </w:rPr>
        <w:t>отмечая это как наличие здравпункта</w:t>
      </w:r>
      <w:r>
        <w:t xml:space="preserve"> (врачебного кабинета, медико-санитарной части и тому подобное).</w:t>
      </w:r>
    </w:p>
    <w:p w:rsidR="00522A12" w:rsidRDefault="0020152F">
      <w:pPr>
        <w:ind w:firstLine="708"/>
        <w:jc w:val="both"/>
      </w:pPr>
      <w:r>
        <w:rPr>
          <w:b/>
          <w:bCs/>
          <w:i/>
          <w:iCs/>
        </w:rPr>
        <w:t xml:space="preserve">Строки 23-25 </w:t>
      </w:r>
      <w:r>
        <w:t xml:space="preserve">заполняются только в случае, </w:t>
      </w:r>
      <w:r>
        <w:rPr>
          <w:b/>
          <w:i/>
        </w:rPr>
        <w:t>если организация не вела деятельность.</w:t>
      </w:r>
      <w:r>
        <w:t xml:space="preserve"> </w:t>
      </w:r>
    </w:p>
    <w:sectPr w:rsidR="00522A12" w:rsidSect="00522A12">
      <w:pgSz w:w="11906" w:h="16838"/>
      <w:pgMar w:top="568" w:right="567" w:bottom="567" w:left="1276" w:header="709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2F" w:rsidRDefault="0020152F">
      <w:r>
        <w:separator/>
      </w:r>
    </w:p>
  </w:endnote>
  <w:endnote w:type="continuationSeparator" w:id="0">
    <w:p w:rsidR="0020152F" w:rsidRDefault="0020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2F" w:rsidRDefault="0020152F">
      <w:r>
        <w:separator/>
      </w:r>
    </w:p>
  </w:footnote>
  <w:footnote w:type="continuationSeparator" w:id="0">
    <w:p w:rsidR="0020152F" w:rsidRDefault="00201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3457"/>
    <w:multiLevelType w:val="hybridMultilevel"/>
    <w:tmpl w:val="56C8D362"/>
    <w:lvl w:ilvl="0" w:tplc="00121F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1ECE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EC39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7D8F8C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6E0B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84A101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B401A4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0ECA71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F62D8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B1238"/>
    <w:multiLevelType w:val="hybridMultilevel"/>
    <w:tmpl w:val="055CD372"/>
    <w:lvl w:ilvl="0" w:tplc="4A900B26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2874310E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00CC4DC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BA8E867E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F2DA22C6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5FB2CCA8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D5CA23D6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CEA1A10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5B0A2C70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A12"/>
    <w:rsid w:val="0020152F"/>
    <w:rsid w:val="00522A12"/>
    <w:rsid w:val="00D1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522A1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22A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22A1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22A1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22A1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22A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22A1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22A1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522A1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22A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522A1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22A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522A1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22A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522A1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22A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22A1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22A12"/>
  </w:style>
  <w:style w:type="paragraph" w:styleId="a4">
    <w:name w:val="Title"/>
    <w:basedOn w:val="a"/>
    <w:next w:val="a"/>
    <w:link w:val="a5"/>
    <w:uiPriority w:val="10"/>
    <w:qFormat/>
    <w:rsid w:val="00522A1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2A1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22A1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522A1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2A1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2A1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22A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22A12"/>
    <w:rPr>
      <w:i/>
    </w:rPr>
  </w:style>
  <w:style w:type="character" w:customStyle="1" w:styleId="HeaderChar">
    <w:name w:val="Header Char"/>
    <w:basedOn w:val="a0"/>
    <w:link w:val="Header"/>
    <w:uiPriority w:val="99"/>
    <w:rsid w:val="00522A12"/>
  </w:style>
  <w:style w:type="character" w:customStyle="1" w:styleId="FooterChar">
    <w:name w:val="Footer Char"/>
    <w:basedOn w:val="a0"/>
    <w:link w:val="Footer"/>
    <w:uiPriority w:val="99"/>
    <w:rsid w:val="00522A12"/>
  </w:style>
  <w:style w:type="character" w:customStyle="1" w:styleId="CaptionChar">
    <w:name w:val="Caption Char"/>
    <w:link w:val="Footer"/>
    <w:uiPriority w:val="99"/>
    <w:rsid w:val="00522A12"/>
  </w:style>
  <w:style w:type="table" w:customStyle="1" w:styleId="TableGridLight">
    <w:name w:val="Table Grid Light"/>
    <w:basedOn w:val="a1"/>
    <w:uiPriority w:val="59"/>
    <w:rsid w:val="00522A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22A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22A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22A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2A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2A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2A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2A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2A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2A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2A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2A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22A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2A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2A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2A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2A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2A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2A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2A1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2A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2A12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522A12"/>
    <w:rPr>
      <w:sz w:val="18"/>
    </w:rPr>
  </w:style>
  <w:style w:type="character" w:styleId="ac">
    <w:name w:val="footnote reference"/>
    <w:basedOn w:val="a0"/>
    <w:uiPriority w:val="99"/>
    <w:unhideWhenUsed/>
    <w:rsid w:val="00522A12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2A12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522A12"/>
    <w:rPr>
      <w:sz w:val="20"/>
    </w:rPr>
  </w:style>
  <w:style w:type="character" w:styleId="af">
    <w:name w:val="endnote reference"/>
    <w:basedOn w:val="a0"/>
    <w:uiPriority w:val="99"/>
    <w:semiHidden/>
    <w:unhideWhenUsed/>
    <w:rsid w:val="00522A1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22A12"/>
    <w:pPr>
      <w:spacing w:after="57"/>
    </w:pPr>
  </w:style>
  <w:style w:type="paragraph" w:styleId="21">
    <w:name w:val="toc 2"/>
    <w:basedOn w:val="a"/>
    <w:next w:val="a"/>
    <w:uiPriority w:val="39"/>
    <w:unhideWhenUsed/>
    <w:rsid w:val="00522A1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22A1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2A1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2A1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2A1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2A1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2A1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2A12"/>
    <w:pPr>
      <w:spacing w:after="57"/>
      <w:ind w:left="2268"/>
    </w:pPr>
  </w:style>
  <w:style w:type="paragraph" w:styleId="af0">
    <w:name w:val="TOC Heading"/>
    <w:uiPriority w:val="39"/>
    <w:unhideWhenUsed/>
    <w:rsid w:val="00522A12"/>
  </w:style>
  <w:style w:type="paragraph" w:styleId="af1">
    <w:name w:val="table of figures"/>
    <w:basedOn w:val="a"/>
    <w:next w:val="a"/>
    <w:uiPriority w:val="99"/>
    <w:unhideWhenUsed/>
    <w:rsid w:val="00522A12"/>
  </w:style>
  <w:style w:type="paragraph" w:customStyle="1" w:styleId="Heading1">
    <w:name w:val="Heading 1"/>
    <w:basedOn w:val="a"/>
    <w:link w:val="10"/>
    <w:uiPriority w:val="9"/>
    <w:qFormat/>
    <w:rsid w:val="00522A1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customStyle="1" w:styleId="Header">
    <w:name w:val="Header"/>
    <w:basedOn w:val="a"/>
    <w:link w:val="af2"/>
    <w:rsid w:val="00522A1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Header"/>
    <w:rsid w:val="00522A12"/>
    <w:rPr>
      <w:sz w:val="24"/>
      <w:szCs w:val="24"/>
    </w:rPr>
  </w:style>
  <w:style w:type="paragraph" w:customStyle="1" w:styleId="Footer">
    <w:name w:val="Footer"/>
    <w:basedOn w:val="a"/>
    <w:link w:val="af3"/>
    <w:rsid w:val="00522A1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Footer"/>
    <w:rsid w:val="00522A12"/>
    <w:rPr>
      <w:sz w:val="24"/>
      <w:szCs w:val="24"/>
    </w:rPr>
  </w:style>
  <w:style w:type="character" w:styleId="af4">
    <w:name w:val="Hyperlink"/>
    <w:rsid w:val="00522A12"/>
    <w:rPr>
      <w:color w:val="0000FF"/>
      <w:u w:val="single"/>
    </w:rPr>
  </w:style>
  <w:style w:type="paragraph" w:customStyle="1" w:styleId="Caption">
    <w:name w:val="Caption"/>
    <w:basedOn w:val="a"/>
    <w:next w:val="a"/>
    <w:qFormat/>
    <w:rsid w:val="00522A12"/>
    <w:pPr>
      <w:framePr w:w="4723" w:h="4183" w:hSpace="180" w:wrap="around" w:vAnchor="text" w:hAnchor="page" w:x="1045" w:y="1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</w:pPr>
    <w:rPr>
      <w:b/>
      <w:color w:val="000000"/>
      <w:sz w:val="28"/>
      <w:szCs w:val="20"/>
    </w:rPr>
  </w:style>
  <w:style w:type="paragraph" w:styleId="af5">
    <w:name w:val="Balloon Text"/>
    <w:basedOn w:val="a"/>
    <w:link w:val="af6"/>
    <w:rsid w:val="00522A1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22A12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rsid w:val="00522A12"/>
    <w:pPr>
      <w:jc w:val="both"/>
    </w:pPr>
    <w:rPr>
      <w:b/>
      <w:bCs/>
      <w:sz w:val="28"/>
    </w:rPr>
  </w:style>
  <w:style w:type="character" w:customStyle="1" w:styleId="af8">
    <w:name w:val="Основной текст Знак"/>
    <w:link w:val="af7"/>
    <w:rsid w:val="00522A12"/>
    <w:rPr>
      <w:b/>
      <w:bCs/>
      <w:sz w:val="28"/>
      <w:szCs w:val="24"/>
    </w:rPr>
  </w:style>
  <w:style w:type="table" w:styleId="af9">
    <w:name w:val="Table Grid"/>
    <w:basedOn w:val="a1"/>
    <w:uiPriority w:val="59"/>
    <w:rsid w:val="00522A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22A12"/>
    <w:pPr>
      <w:widowControl w:val="0"/>
      <w:spacing w:line="280" w:lineRule="auto"/>
      <w:jc w:val="center"/>
    </w:pPr>
    <w:rPr>
      <w:b/>
    </w:rPr>
  </w:style>
  <w:style w:type="character" w:styleId="afa">
    <w:name w:val="Placeholder Text"/>
    <w:uiPriority w:val="99"/>
    <w:semiHidden/>
    <w:rsid w:val="00522A12"/>
    <w:rPr>
      <w:color w:val="808080"/>
    </w:rPr>
  </w:style>
  <w:style w:type="character" w:customStyle="1" w:styleId="10">
    <w:name w:val="Заголовок 1 Знак"/>
    <w:link w:val="Heading1"/>
    <w:uiPriority w:val="9"/>
    <w:rsid w:val="00522A12"/>
    <w:rPr>
      <w:b/>
      <w:bCs/>
      <w:sz w:val="48"/>
      <w:szCs w:val="48"/>
    </w:rPr>
  </w:style>
  <w:style w:type="paragraph" w:styleId="30">
    <w:name w:val="Body Text 3"/>
    <w:basedOn w:val="a"/>
    <w:link w:val="31"/>
    <w:rsid w:val="00522A1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522A12"/>
    <w:rPr>
      <w:sz w:val="16"/>
      <w:szCs w:val="16"/>
    </w:rPr>
  </w:style>
  <w:style w:type="character" w:styleId="afb">
    <w:name w:val="FollowedHyperlink"/>
    <w:rsid w:val="00522A12"/>
    <w:rPr>
      <w:color w:val="954F72"/>
      <w:u w:val="single"/>
    </w:rPr>
  </w:style>
  <w:style w:type="paragraph" w:styleId="afc">
    <w:name w:val="List Paragraph"/>
    <w:basedOn w:val="a"/>
    <w:uiPriority w:val="34"/>
    <w:qFormat/>
    <w:rsid w:val="00522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7C3CFF3-42C3-4C4B-BAC1-823C141D6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Company>Krasnoyarskstat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Рямова И.В.,</cp:lastModifiedBy>
  <cp:revision>2</cp:revision>
  <dcterms:created xsi:type="dcterms:W3CDTF">2023-02-03T07:07:00Z</dcterms:created>
  <dcterms:modified xsi:type="dcterms:W3CDTF">2023-02-03T08:50:00Z</dcterms:modified>
</cp:coreProperties>
</file>